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77" w:rsidRDefault="00FD6490">
      <w:p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>
        <w:rPr>
          <w:rFonts w:ascii="Arial" w:hAnsi="Arial" w:cs="Arial"/>
          <w:sz w:val="22"/>
          <w:szCs w:val="22"/>
          <w:lang w:val="hr-HR"/>
        </w:rPr>
        <w:t>Urbroj</w:t>
      </w:r>
      <w:proofErr w:type="spellEnd"/>
      <w:r>
        <w:rPr>
          <w:rFonts w:ascii="Arial" w:hAnsi="Arial" w:cs="Arial"/>
          <w:sz w:val="22"/>
          <w:szCs w:val="22"/>
          <w:lang w:val="hr-HR"/>
        </w:rPr>
        <w:t>: 01-</w:t>
      </w:r>
      <w:r w:rsidR="004B26DF">
        <w:rPr>
          <w:rFonts w:ascii="Arial" w:hAnsi="Arial" w:cs="Arial"/>
          <w:sz w:val="22"/>
          <w:szCs w:val="22"/>
          <w:lang w:val="hr-HR"/>
        </w:rPr>
        <w:t>2020</w:t>
      </w:r>
      <w:r>
        <w:rPr>
          <w:rFonts w:ascii="Arial" w:hAnsi="Arial" w:cs="Arial"/>
          <w:sz w:val="22"/>
          <w:szCs w:val="22"/>
          <w:lang w:val="hr-HR"/>
        </w:rPr>
        <w:t>/1-2026</w:t>
      </w:r>
    </w:p>
    <w:p w:rsidR="00701A77" w:rsidRDefault="004B26DF">
      <w:pPr>
        <w:jc w:val="both"/>
      </w:pPr>
      <w:r>
        <w:rPr>
          <w:rFonts w:ascii="Arial" w:hAnsi="Arial" w:cs="Arial"/>
          <w:sz w:val="22"/>
          <w:szCs w:val="22"/>
          <w:lang w:val="hr-HR"/>
        </w:rPr>
        <w:t xml:space="preserve">Datum: 2. lipanj </w:t>
      </w:r>
      <w:r w:rsidR="00FD6490">
        <w:rPr>
          <w:rFonts w:ascii="Arial" w:hAnsi="Arial" w:cs="Arial"/>
          <w:sz w:val="22"/>
          <w:szCs w:val="22"/>
          <w:lang w:val="hr-HR"/>
        </w:rPr>
        <w:t>2026. godine</w:t>
      </w:r>
    </w:p>
    <w:p w:rsidR="00701A77" w:rsidRDefault="00701A77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701A77" w:rsidRDefault="00FD6490">
      <w:pPr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POZIV NA ISTRAŽIVANJE TRŽIŠTA I PRETHODNO SAVJETOVANJE S GOSPODARSKIM SUBJEKTIMA</w:t>
      </w:r>
    </w:p>
    <w:p w:rsidR="00701A77" w:rsidRDefault="00701A77">
      <w:pPr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val="hr-HR"/>
        </w:rPr>
      </w:pPr>
    </w:p>
    <w:p w:rsidR="00701A77" w:rsidRDefault="00FD6490">
      <w:pPr>
        <w:jc w:val="center"/>
        <w:rPr>
          <w:rFonts w:ascii="Arial" w:eastAsia="Arial" w:hAnsi="Arial" w:cs="Arial"/>
          <w:b/>
          <w:b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Nabava uređaja za magnetsku rezonanciju (MR) jakosti magnetskog polja 1.5T sustav „ključ u ruke“</w:t>
      </w:r>
    </w:p>
    <w:p w:rsidR="00701A77" w:rsidRDefault="00701A77">
      <w:pPr>
        <w:jc w:val="both"/>
        <w:rPr>
          <w:rFonts w:ascii="Arial" w:eastAsia="Arial" w:hAnsi="Arial" w:cs="Arial"/>
          <w:b/>
          <w:bCs/>
          <w:sz w:val="22"/>
          <w:szCs w:val="22"/>
          <w:lang w:val="hr-HR"/>
        </w:rPr>
      </w:pPr>
    </w:p>
    <w:p w:rsidR="00701A77" w:rsidRDefault="00FD6490">
      <w:pPr>
        <w:jc w:val="both"/>
        <w:outlineLvl w:val="1"/>
        <w:rPr>
          <w:rFonts w:ascii="Arial" w:eastAsia="Arial" w:hAnsi="Arial" w:cs="Arial"/>
          <w:b/>
          <w:b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1. Predmet istraživanja tržišta</w:t>
      </w:r>
    </w:p>
    <w:p w:rsidR="00701A77" w:rsidRDefault="00FD6490">
      <w:pPr>
        <w:jc w:val="both"/>
      </w:pPr>
      <w:r>
        <w:rPr>
          <w:rFonts w:ascii="Arial" w:eastAsia="Arial" w:hAnsi="Arial" w:cs="Arial"/>
          <w:sz w:val="22"/>
          <w:szCs w:val="22"/>
          <w:lang w:val="hr-HR"/>
        </w:rPr>
        <w:t xml:space="preserve">Opća županijska bolnica Požega (u daljnjem tekstu: Naručitelj) provodi istraživanje tržišta sukladno odredbama Zakona o javnoj nabavi (NN 120/16, 114/22) s ciljem prikupljanja informacija potrebnih za pripremu i planiranje postupka javne nabave te izradu objektivne, </w:t>
      </w:r>
      <w:proofErr w:type="spellStart"/>
      <w:r>
        <w:rPr>
          <w:rFonts w:ascii="Arial" w:eastAsia="Arial" w:hAnsi="Arial" w:cs="Arial"/>
          <w:sz w:val="22"/>
          <w:szCs w:val="22"/>
          <w:lang w:val="hr-HR"/>
        </w:rPr>
        <w:t>nediskriminirajuće</w:t>
      </w:r>
      <w:proofErr w:type="spellEnd"/>
      <w:r>
        <w:rPr>
          <w:rFonts w:ascii="Arial" w:eastAsia="Arial" w:hAnsi="Arial" w:cs="Arial"/>
          <w:sz w:val="22"/>
          <w:szCs w:val="22"/>
          <w:lang w:val="hr-HR"/>
        </w:rPr>
        <w:t xml:space="preserve"> i tržišno utemeljene dokumentacije o nabavi.</w:t>
      </w: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Predmet buduće nabave je isporuka, ugradnja i puštanje u rad uređaja za magnetsku rezonanciju (MR) jakosti magnetskog polja 1.5 Tesla (1.5T), po sustavu „ključ u ruke“, uključujući sve prateće radove i opremu nužne za potpunu funkcionalnost sustava.</w:t>
      </w:r>
    </w:p>
    <w:p w:rsidR="00701A77" w:rsidRDefault="00701A77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FD6490">
      <w:pPr>
        <w:jc w:val="both"/>
        <w:outlineLvl w:val="1"/>
        <w:rPr>
          <w:rFonts w:ascii="Arial" w:eastAsia="Arial" w:hAnsi="Arial" w:cs="Arial"/>
          <w:b/>
          <w:b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2. Svrha istraživanja tržišta</w:t>
      </w: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Ovim pozivom Naručitelj želi:</w:t>
      </w:r>
    </w:p>
    <w:p w:rsidR="00701A77" w:rsidRDefault="00FD6490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utvrditi dostupnost i tehničke mogućnosti uređaja jakosti 1.5T na tržištu,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prikupiti okvirne troškovne pokazatelje radi planiranja proračunskih sredstava,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definirati realne tehničke specifikacije koje ne ograničavaju tržišno natjecanje,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prikupiti informacije o uvjetima isporuke, jamstva i održavanja.</w:t>
      </w:r>
    </w:p>
    <w:p w:rsidR="00701A77" w:rsidRDefault="00FD6490">
      <w:pPr>
        <w:jc w:val="both"/>
        <w:rPr>
          <w:rFonts w:ascii="Arial" w:eastAsia="Arial" w:hAnsi="Arial" w:cs="Arial"/>
          <w:i/>
          <w:iCs/>
          <w:sz w:val="22"/>
          <w:szCs w:val="22"/>
          <w:lang w:val="hr-HR"/>
        </w:rPr>
      </w:pPr>
      <w:r>
        <w:rPr>
          <w:rFonts w:ascii="Arial" w:eastAsia="Arial" w:hAnsi="Arial" w:cs="Arial"/>
          <w:i/>
          <w:iCs/>
          <w:sz w:val="22"/>
          <w:szCs w:val="22"/>
          <w:lang w:val="hr-HR"/>
        </w:rPr>
        <w:t>Sudjelovanje u istraživanju tržišta ne obvezuje Naručitelja niti gospodarski subjekt te ne predstavlja pretkvalifikaciju za eventualni budući postupak nabave.</w:t>
      </w:r>
    </w:p>
    <w:p w:rsidR="00701A77" w:rsidRDefault="00701A77">
      <w:pPr>
        <w:jc w:val="both"/>
        <w:rPr>
          <w:rFonts w:ascii="Arial" w:eastAsia="Arial" w:hAnsi="Arial" w:cs="Arial"/>
          <w:i/>
          <w:iCs/>
          <w:sz w:val="22"/>
          <w:szCs w:val="22"/>
          <w:lang w:val="hr-HR"/>
        </w:rPr>
      </w:pPr>
    </w:p>
    <w:p w:rsidR="00701A77" w:rsidRDefault="00FD6490">
      <w:pPr>
        <w:jc w:val="both"/>
        <w:outlineLvl w:val="1"/>
        <w:rPr>
          <w:rFonts w:ascii="Arial" w:eastAsia="Arial" w:hAnsi="Arial" w:cs="Arial"/>
          <w:b/>
          <w:b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3. Tražene informacije</w:t>
      </w: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Pozivamo zainteresirane gospodarske subjekte da dostave sljedeće:</w:t>
      </w:r>
    </w:p>
    <w:p w:rsidR="00701A77" w:rsidRDefault="00701A77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  <w:t>a) Tehničke specifikacije uređaja (1.5T)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tip magneta i potvrda jakosti polja 1.5 Tesla,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promjer otvora (bore) uređaja i duljina tunela,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 xml:space="preserve">gradijentni sustav (jakost gradijenta i brzina porasta – </w:t>
      </w:r>
      <w:proofErr w:type="spellStart"/>
      <w:r>
        <w:rPr>
          <w:rFonts w:ascii="Arial" w:eastAsia="Arial" w:hAnsi="Arial" w:cs="Arial"/>
          <w:sz w:val="22"/>
          <w:szCs w:val="22"/>
          <w:lang w:val="hr-HR"/>
        </w:rPr>
        <w:t>slew</w:t>
      </w:r>
      <w:proofErr w:type="spellEnd"/>
      <w:r>
        <w:rPr>
          <w:rFonts w:ascii="Arial" w:eastAsia="Arial" w:hAnsi="Arial" w:cs="Arial"/>
          <w:sz w:val="22"/>
          <w:szCs w:val="22"/>
          <w:lang w:val="hr-HR"/>
        </w:rPr>
        <w:t xml:space="preserve"> rate),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broj RF kanala te vrsta i broj raspoloživih zavojnica (</w:t>
      </w:r>
      <w:proofErr w:type="spellStart"/>
      <w:r>
        <w:rPr>
          <w:rFonts w:ascii="Arial" w:eastAsia="Arial" w:hAnsi="Arial" w:cs="Arial"/>
          <w:sz w:val="22"/>
          <w:szCs w:val="22"/>
          <w:lang w:val="hr-HR"/>
        </w:rPr>
        <w:t>coils</w:t>
      </w:r>
      <w:proofErr w:type="spellEnd"/>
      <w:r>
        <w:rPr>
          <w:rFonts w:ascii="Arial" w:eastAsia="Arial" w:hAnsi="Arial" w:cs="Arial"/>
          <w:sz w:val="22"/>
          <w:szCs w:val="22"/>
          <w:lang w:val="hr-HR"/>
        </w:rPr>
        <w:t>),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raspoloživi softverski paketi i klinički protokoli (</w:t>
      </w:r>
      <w:proofErr w:type="spellStart"/>
      <w:r>
        <w:rPr>
          <w:rFonts w:ascii="Arial" w:eastAsia="Arial" w:hAnsi="Arial" w:cs="Arial"/>
          <w:sz w:val="22"/>
          <w:szCs w:val="22"/>
          <w:lang w:val="hr-HR"/>
        </w:rPr>
        <w:t>neuro</w:t>
      </w:r>
      <w:proofErr w:type="spellEnd"/>
      <w:r>
        <w:rPr>
          <w:rFonts w:ascii="Arial" w:eastAsia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  <w:lang w:val="hr-HR"/>
        </w:rPr>
        <w:t>kardio</w:t>
      </w:r>
      <w:proofErr w:type="spellEnd"/>
      <w:r>
        <w:rPr>
          <w:rFonts w:ascii="Arial" w:eastAsia="Arial" w:hAnsi="Arial" w:cs="Arial"/>
          <w:sz w:val="22"/>
          <w:szCs w:val="22"/>
          <w:lang w:val="hr-HR"/>
        </w:rPr>
        <w:t>, MSK, abdomen, angiografija, spektroskopija i dr.),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tehnologije za skraćivanje vremena snimanja (npr. ubrzanje temeljeno na umjetnoj inteligenciji),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tehnologija hlađenja i potrošnja helija (npr. sustavi sa smanjenom količinom helija – „</w:t>
      </w:r>
      <w:proofErr w:type="spellStart"/>
      <w:r>
        <w:rPr>
          <w:rFonts w:ascii="Arial" w:eastAsia="Arial" w:hAnsi="Arial" w:cs="Arial"/>
          <w:sz w:val="22"/>
          <w:szCs w:val="22"/>
          <w:lang w:val="hr-HR"/>
        </w:rPr>
        <w:t>sealed</w:t>
      </w:r>
      <w:proofErr w:type="spellEnd"/>
      <w:r>
        <w:rPr>
          <w:rFonts w:ascii="Arial" w:eastAsia="Arial" w:hAnsi="Arial" w:cs="Arial"/>
          <w:sz w:val="22"/>
          <w:szCs w:val="22"/>
          <w:lang w:val="hr-HR"/>
        </w:rPr>
        <w:t xml:space="preserve">“ / </w:t>
      </w:r>
      <w:proofErr w:type="spellStart"/>
      <w:r>
        <w:rPr>
          <w:rFonts w:ascii="Arial" w:eastAsia="Arial" w:hAnsi="Arial" w:cs="Arial"/>
          <w:sz w:val="22"/>
          <w:szCs w:val="22"/>
          <w:lang w:val="hr-HR"/>
        </w:rPr>
        <w:t>low-helium</w:t>
      </w:r>
      <w:proofErr w:type="spellEnd"/>
      <w:r>
        <w:rPr>
          <w:rFonts w:ascii="Arial" w:eastAsia="Arial" w:hAnsi="Arial" w:cs="Arial"/>
          <w:sz w:val="22"/>
          <w:szCs w:val="22"/>
          <w:lang w:val="hr-HR"/>
        </w:rPr>
        <w:t>),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zahtjevi na prostor, težinu, napajanje i klimatizaciju.</w:t>
      </w:r>
    </w:p>
    <w:p w:rsidR="00701A77" w:rsidRDefault="00701A77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  <w:t>b) Troškovnik („ključ u ruke“)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cijena uređaja s ugradnjom i puštanjem u rad,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 xml:space="preserve">pripremno-građevinski radovi (RF / </w:t>
      </w:r>
      <w:proofErr w:type="spellStart"/>
      <w:r>
        <w:rPr>
          <w:rFonts w:ascii="Arial" w:eastAsia="Arial" w:hAnsi="Arial" w:cs="Arial"/>
          <w:sz w:val="22"/>
          <w:szCs w:val="22"/>
          <w:lang w:val="hr-HR"/>
        </w:rPr>
        <w:t>Faradayev</w:t>
      </w:r>
      <w:proofErr w:type="spellEnd"/>
      <w:r>
        <w:rPr>
          <w:rFonts w:ascii="Arial" w:eastAsia="Arial" w:hAnsi="Arial" w:cs="Arial"/>
          <w:sz w:val="22"/>
          <w:szCs w:val="22"/>
          <w:lang w:val="hr-HR"/>
        </w:rPr>
        <w:t xml:space="preserve"> kavez, podloge, klimatizacija, električne instalacije),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demontaža i zbrinjavanje postojeće opreme (ako je primjenjivo),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edukacija osoblja,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svi ostali troškovi nužni za punu funkcionalnost sustava.</w:t>
      </w:r>
    </w:p>
    <w:p w:rsidR="00701A77" w:rsidRDefault="00701A77">
      <w:pPr>
        <w:ind w:left="720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701A77">
      <w:pPr>
        <w:ind w:left="720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F54DD0" w:rsidRDefault="00F54DD0">
      <w:pPr>
        <w:ind w:left="720"/>
        <w:jc w:val="both"/>
        <w:rPr>
          <w:rFonts w:ascii="Arial" w:eastAsia="Arial" w:hAnsi="Arial" w:cs="Arial"/>
          <w:sz w:val="22"/>
          <w:szCs w:val="22"/>
          <w:lang w:val="hr-HR"/>
        </w:rPr>
      </w:pPr>
      <w:bookmarkStart w:id="0" w:name="_GoBack"/>
      <w:bookmarkEnd w:id="0"/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  <w:lastRenderedPageBreak/>
        <w:t>c) Komercijalni i ostali uvjeti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okvirna cijena (bez PDV-a i s PDV-om),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jamstveni rok i opseg jamstva,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rok isporuke i ugradnje od sklapanja ugovora,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uvjeti i cijena održavanja nakon isteka jamstva (godišnji servisni ugovor, vrijeme odziva, dostupnost rezervnih dijelova),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predviđeni vijek trajanja i dostupnost nadogradnji,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reference / popis isporučenih uređaja istog ili sličnog tipa.</w:t>
      </w:r>
    </w:p>
    <w:p w:rsidR="00701A77" w:rsidRDefault="00FD6490">
      <w:pPr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  <w:t>d) Obvezni podaci i prilozi uz odgovor</w:t>
      </w:r>
    </w:p>
    <w:p w:rsidR="00701A77" w:rsidRDefault="00FD6490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popunjenu tablicu tehničkih specifikacija iz Priloga 1. ovog poziva: za svaku stavku označiti DA/NE u odgovarajući stupac, a tamo gdje opis stavke sadrži crtu za upis ( __________ ) obvezno upisati traženu vrijednost izravno na crtu odnosno u stupac „Ponuđeno / napomena“ (npr. mjernu vrijednost, kapacitet ili broj),</w:t>
      </w:r>
    </w:p>
    <w:p w:rsidR="00701A77" w:rsidRDefault="00FD6490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točan naziv, model i proizvođača MR uređaja koji se nudi,</w:t>
      </w:r>
    </w:p>
    <w:p w:rsidR="00701A77" w:rsidRDefault="00FD6490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cijenu za kupovinu uređaja (bez PDV-a i s PDV-om),</w:t>
      </w:r>
    </w:p>
    <w:p w:rsidR="00701A77" w:rsidRDefault="00FD6490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cijenu mjesečnog najma uređaja na rok od 60 mjeseci (bez PDV-a i s PDV-om),</w:t>
      </w:r>
    </w:p>
    <w:p w:rsidR="00701A77" w:rsidRDefault="00FD6490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vrijeme odziva servisa u slučaju kvara (servisni odziv),</w:t>
      </w:r>
    </w:p>
    <w:p w:rsidR="00701A77" w:rsidRDefault="00FD6490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4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reference u Republici Hrvatskoj (popis korisnika kod kojih je ponuđeni ili sličan uređaj isporučen i u radu).</w:t>
      </w:r>
    </w:p>
    <w:p w:rsidR="00701A77" w:rsidRDefault="00701A77">
      <w:pPr>
        <w:ind w:left="720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FD6490">
      <w:pPr>
        <w:jc w:val="both"/>
        <w:outlineLvl w:val="1"/>
        <w:rPr>
          <w:rFonts w:ascii="Arial" w:eastAsia="Arial" w:hAnsi="Arial" w:cs="Arial"/>
          <w:b/>
          <w:b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4. Način i rok dostave</w:t>
      </w: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 xml:space="preserve">Tražene informacije dostavljaju se u pisanom obliku na e-adresu: </w:t>
      </w:r>
      <w:hyperlink r:id="rId7">
        <w:r>
          <w:rPr>
            <w:rStyle w:val="Hiperveza"/>
            <w:rFonts w:ascii="Arial" w:eastAsia="Arial" w:hAnsi="Arial" w:cs="Arial"/>
            <w:b/>
            <w:bCs/>
            <w:sz w:val="22"/>
            <w:szCs w:val="22"/>
            <w:lang w:val="hr-HR"/>
          </w:rPr>
          <w:t>valentin.raguz@pozeska-bolnica.hr</w:t>
        </w:r>
      </w:hyperlink>
      <w:r>
        <w:rPr>
          <w:rFonts w:ascii="Arial" w:eastAsia="Arial" w:hAnsi="Arial" w:cs="Arial"/>
          <w:b/>
          <w:bCs/>
          <w:sz w:val="22"/>
          <w:szCs w:val="22"/>
          <w:lang w:val="hr-HR"/>
        </w:rPr>
        <w:t xml:space="preserve"> </w:t>
      </w:r>
      <w:r>
        <w:rPr>
          <w:rFonts w:ascii="Arial" w:eastAsia="Arial" w:hAnsi="Arial" w:cs="Arial"/>
          <w:sz w:val="22"/>
          <w:szCs w:val="22"/>
          <w:lang w:val="hr-HR"/>
        </w:rPr>
        <w:t>s naznakom „</w:t>
      </w:r>
      <w:r>
        <w:rPr>
          <w:rFonts w:ascii="Arial" w:eastAsia="Arial" w:hAnsi="Arial" w:cs="Arial"/>
          <w:b/>
          <w:bCs/>
          <w:sz w:val="22"/>
          <w:szCs w:val="22"/>
          <w:lang w:val="hr-HR"/>
        </w:rPr>
        <w:t>Istraživanje tržišta – MR uređaj 1.5T</w:t>
      </w:r>
      <w:r>
        <w:rPr>
          <w:rFonts w:ascii="Arial" w:eastAsia="Arial" w:hAnsi="Arial" w:cs="Arial"/>
          <w:sz w:val="22"/>
          <w:szCs w:val="22"/>
          <w:lang w:val="hr-HR"/>
        </w:rPr>
        <w:t xml:space="preserve">“, najkasnije do </w:t>
      </w:r>
      <w:r w:rsidR="00F54DD0">
        <w:rPr>
          <w:rFonts w:ascii="Arial" w:eastAsia="Arial" w:hAnsi="Arial" w:cs="Arial"/>
          <w:b/>
          <w:bCs/>
          <w:sz w:val="22"/>
          <w:szCs w:val="22"/>
          <w:lang w:val="hr-HR"/>
        </w:rPr>
        <w:t>3. srpnja</w:t>
      </w:r>
      <w:r>
        <w:rPr>
          <w:rFonts w:ascii="Arial" w:eastAsia="Arial" w:hAnsi="Arial" w:cs="Arial"/>
          <w:b/>
          <w:bCs/>
          <w:sz w:val="22"/>
          <w:szCs w:val="22"/>
          <w:lang w:val="hr-HR"/>
        </w:rPr>
        <w:t xml:space="preserve"> 2026. godine </w:t>
      </w:r>
      <w:r>
        <w:rPr>
          <w:rFonts w:ascii="Arial" w:eastAsia="Arial" w:hAnsi="Arial" w:cs="Arial"/>
          <w:sz w:val="22"/>
          <w:szCs w:val="22"/>
          <w:lang w:val="hr-HR"/>
        </w:rPr>
        <w:t xml:space="preserve">do </w:t>
      </w:r>
      <w:r>
        <w:rPr>
          <w:rFonts w:ascii="Arial" w:eastAsia="Arial" w:hAnsi="Arial" w:cs="Arial"/>
          <w:b/>
          <w:bCs/>
          <w:sz w:val="22"/>
          <w:szCs w:val="22"/>
          <w:lang w:val="hr-HR"/>
        </w:rPr>
        <w:t>12,00</w:t>
      </w:r>
      <w:r>
        <w:rPr>
          <w:rFonts w:ascii="Arial" w:eastAsia="Arial" w:hAnsi="Arial" w:cs="Arial"/>
          <w:sz w:val="22"/>
          <w:szCs w:val="22"/>
          <w:lang w:val="hr-HR"/>
        </w:rPr>
        <w:t xml:space="preserve"> sati.</w:t>
      </w:r>
    </w:p>
    <w:p w:rsidR="00701A77" w:rsidRDefault="00701A77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Pregled prostora predviđenog za smještaj i ugradnju uređaja moguć je uz prethodnu najavu na e-adrese: valentin.raguz@pozeska-bolnica.hr [upisati dodatne e-adrese po potrebi].</w:t>
      </w:r>
    </w:p>
    <w:p w:rsidR="00701A77" w:rsidRDefault="00701A77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FD6490">
      <w:pPr>
        <w:jc w:val="both"/>
        <w:outlineLvl w:val="1"/>
        <w:rPr>
          <w:rFonts w:ascii="Arial" w:eastAsia="Arial" w:hAnsi="Arial" w:cs="Arial"/>
          <w:b/>
          <w:b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5. Napomene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Dostavljene informacije koristit će se isključivo u svrhu pripreme postupka javne nabave.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Naručitelj zadržava pravo kontaktirati subjekte radi dodatnih pojašnjenja.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Dostava informacija ne stvara nikakve obveze niti pravo na naknadu troškova sudjelovanja.</w:t>
      </w:r>
    </w:p>
    <w:p w:rsidR="00701A77" w:rsidRDefault="00FD6490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sz w:val="22"/>
          <w:szCs w:val="22"/>
          <w:lang w:val="hr-HR"/>
        </w:rPr>
        <w:t>Sukladno čl. 198. ZJN-a, Naručitelj će voditi računa da pripremne aktivnosti ne naruše načelo tržišnog natjecanja i jednakog tretmana gospodarskih subjekata.</w:t>
      </w:r>
    </w:p>
    <w:p w:rsidR="00701A77" w:rsidRDefault="00701A77">
      <w:pPr>
        <w:ind w:left="720"/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Kontakt osoba:</w:t>
      </w: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>Ime i prezime: Valentin Raguž</w:t>
      </w: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 xml:space="preserve">Telefon / e-adresa: </w:t>
      </w:r>
      <w:r>
        <w:rPr>
          <w:rFonts w:ascii="Arial" w:eastAsia="Arial" w:hAnsi="Arial" w:cs="Arial"/>
          <w:sz w:val="22"/>
          <w:szCs w:val="22"/>
          <w:lang w:val="hr-HR"/>
        </w:rPr>
        <w:t xml:space="preserve">034/254-515, </w:t>
      </w:r>
      <w:hyperlink r:id="rId8">
        <w:r>
          <w:rPr>
            <w:rStyle w:val="Hiperveza"/>
            <w:rFonts w:ascii="Arial" w:eastAsia="Arial" w:hAnsi="Arial" w:cs="Arial"/>
            <w:sz w:val="22"/>
            <w:szCs w:val="22"/>
            <w:lang w:val="hr-HR"/>
          </w:rPr>
          <w:t>valentin.raguz@pozeska-bolnica.hr</w:t>
        </w:r>
      </w:hyperlink>
      <w:r>
        <w:rPr>
          <w:rFonts w:ascii="Arial" w:eastAsia="Arial" w:hAnsi="Arial" w:cs="Arial"/>
          <w:sz w:val="22"/>
          <w:szCs w:val="22"/>
          <w:lang w:val="hr-HR"/>
        </w:rPr>
        <w:t xml:space="preserve"> </w:t>
      </w:r>
    </w:p>
    <w:p w:rsidR="00701A77" w:rsidRDefault="00701A77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FD6490">
      <w:r>
        <w:br w:type="page"/>
      </w:r>
    </w:p>
    <w:p w:rsidR="00701A77" w:rsidRDefault="00FD6490">
      <w:pPr>
        <w:jc w:val="both"/>
        <w:rPr>
          <w:rFonts w:ascii="Arial" w:eastAsia="Arial" w:hAnsi="Arial" w:cs="Arial"/>
          <w:b/>
          <w:b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lastRenderedPageBreak/>
        <w:t>PRILOG 1 – Tablica tehničkih specifikacija i komercijalnih podataka</w:t>
      </w: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i/>
          <w:iCs/>
          <w:sz w:val="22"/>
          <w:szCs w:val="22"/>
          <w:lang w:val="hr-HR"/>
        </w:rPr>
        <w:t>Gospodarski subjekt ispunjava donje tablice. U stupce „DA“ / „NE“ označava se ispunjava li ponuđeni uređaj pojedini zahtjev, a u stupac „Ponuđeno / napomena“ upisuje se konkretan podatak (vrijednost, izvedba ili opis onoga što se nudi), osobito tamo gdje je tražena konkretna vrijednost ili gdje podatak nedostaje.</w:t>
      </w:r>
    </w:p>
    <w:p w:rsidR="00701A77" w:rsidRDefault="00FD6490">
      <w:pPr>
        <w:jc w:val="both"/>
        <w:rPr>
          <w:rFonts w:ascii="Arial" w:eastAsia="Arial" w:hAnsi="Arial" w:cs="Arial"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sz w:val="22"/>
          <w:szCs w:val="22"/>
          <w:lang w:val="hr-HR"/>
        </w:rPr>
        <w:t xml:space="preserve">VAŽNO: </w:t>
      </w:r>
      <w:r>
        <w:rPr>
          <w:rFonts w:ascii="Arial" w:eastAsia="Arial" w:hAnsi="Arial" w:cs="Arial"/>
          <w:sz w:val="22"/>
          <w:szCs w:val="22"/>
          <w:lang w:val="hr-HR"/>
        </w:rPr>
        <w:t>Kod stavki čiji opis sadrži crtu za upis ( __________ ) gospodarski subjekt obvezno upisuje traženu vrijednost (npr. mjernu vrijednost, kapacitet, broj kanala i slično) izravno na crtu, odnosno u stupac „Ponuđeno / napomena“. Ponuda u kojoj tražene vrijednosti nisu upisane na predviđene crte smatrat će se nepotpunom.</w:t>
      </w:r>
    </w:p>
    <w:p w:rsidR="00701A77" w:rsidRDefault="00701A77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FD6490">
      <w:pPr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  <w:t>1. Tehničke specifikacije</w:t>
      </w:r>
    </w:p>
    <w:tbl>
      <w:tblPr>
        <w:tblW w:w="9496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5" w:type="dxa"/>
          <w:left w:w="70" w:type="dxa"/>
          <w:bottom w:w="25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  <w:gridCol w:w="4800"/>
        <w:gridCol w:w="540"/>
        <w:gridCol w:w="540"/>
        <w:gridCol w:w="2996"/>
      </w:tblGrid>
      <w:tr w:rsidR="00701A77">
        <w:trPr>
          <w:tblHeader/>
        </w:trPr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MR UREĐAJ VISOKE KLASE 1.5T</w:t>
            </w:r>
          </w:p>
        </w:tc>
      </w:tr>
      <w:tr w:rsidR="00701A77">
        <w:trPr>
          <w:tblHeader/>
        </w:trPr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Točka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Tehnička karakteristika / zahtjev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DA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NE</w:t>
            </w: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Ponuđeno / napomena (što se nudi)</w:t>
            </w: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1. SUPRAVODLJIVI MAGNET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Snaga magnetskog polja min. 1.5 T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Maksimalna duljina cilindričnog dijela tunela za pacijenta __________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minimalan promjer otvora tunela za pacijenta __________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Minimalno vidno polje uz najveću snagu gradijenata __________ cm 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x,y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i z smjeru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1.7.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Aktivno prilagođavanje homogenosti magnetskog polja (engl. "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shimming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")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1.8.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Podešavanje homogenosti magnetskog polja prilagođeno pacijentu.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1.9.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Zaštita od vanjskih smetnji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1.10.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Tehnologija hlađenja 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maks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. 7 litara tekućeg helija u spremniku MR uređaja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1.11.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Sustav za tihi način rada i redukciju buke. Mogućnost smanjenja buke kod neuroloških i ortopedskih aplikacija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1.13.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Planirano spuštanje magnetskog polja ili spuštanje magnetskog polja u nuždi mora se moći provesti bez gubitka tekućeg helija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2. SUSTAV GRADIJENTNIH ZAVOJNICA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Najveća amplituda na svakoj (x, y, z) osi min. __________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/m, (efektivne vrijednosti nisu dozvoljene)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Najveća brzina porasta (engl. "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slew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rate") min. __________ T/m/s. (efektivne vrijednosti nisu dozvoljene)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Maksimalna gradijentna struja min. __________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3. RF SUSTAV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3.1.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Izlazna snaga odašiljačkog RF pojačala min. __________ kW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3.4.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Broj elemenata/kanala zavojnica, koji se mogu koristiti istovremeno tijekom pojedinačnog oslikavanja i u jednom vidnom polju najmanje 48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4. ZAVOJNICE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Fleksibilna zavojnica (mala) s min. 6 elemenata ili kanala, kompatibilna s tehnikama paralelnog oslikavanja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Fleksibilna zavojnica (srednja ili velika) s min. 8 elemenata ili kanala, kompatibilna s tehnikama paralelnog oslikavanja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Zavojnica za glavu i vrat koja bez kombinacije s drugim zavojnicama ima min. 16 elemenata, kompatibilna s tehnikama paralelnog oslikavanja ili zavojnica za glavu i vrat koja ima min. 20 kanala, kompatibilna s tehnikama paralelnog oslikavanja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4.4.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Zavojnica za kralježnicu s min. 44 kanala ili zavojnica za kralježnicu koja bez kombinacije s drugim zavojnicama ima min. 24 elemenata, kompatibilna s tehnikama paralelnog oslikavanja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Zavojnica za oslikavanje tijela ili super fleksibilna zavojnica za oslikavanje tijela (kao deka), koja bez kombinacije s drugim zavojnicama ima min. 16 elemenata ili kanala, kompatibilna s tehnikama paralelnog oslikavanja. Mogućnost istovremenog spajanje s zavojnicom pod točkom 4.2. kako bi se kombinacijom dvije zavojnice moglo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moglo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pokriti minimalno 100 cm dužine tijela ili isporuka 2 zavojnice za tijelo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Zavojnica za oslikavanje dojki s min. 16 elemenata ili kanala kompatibilna sa tehnikama paralelnog oslikavanja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4.7.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Zavojnica za oslikavanje ramena s min. 16 elemenata ili kanala, kompatibilna s tehnikama paralelnog oslikavanja (ne prihvaća se univerzalna zavojnica za snimanje više regija tijela)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4.8.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Zavojnica za oslikavanje koljena s min. 14 elemenata ili kanala, kompatibilna s tehnikama paralelnog oslikavanja (ne prihvaća se univerzalna zavojnica za snimanje više regija tijela)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4.9.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Zavojnica za oslikavanje nožnog zgloba s min. 16 elemenata ili kanala, kompatibilna s tehnikama paralelnog oslikavanja (ne prihvaća se univerzalna zavojnica za snimanje više regija tijela)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4.10.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Zavojnica za oslikavanje ručnog zgloba s min. 16 elemenata ili kanala, kompatibilna sa tehnikama paralelnog oslikavanja (ne prihvaća se univerzalna zavojnica za snimanje više regija tijela)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4.11.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Zavojnica za tijelo integrirana u MR uređaju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4.12.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Mogućnost kombiniranja više elemenata različitih zavojnica u jednom skenu.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5. POZICIONIRANJE, NADZOR I OKOLINA PACIJENTA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5.1.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Najveće opterećenje ležaja za vrijeme horizontalnog i vertikalnog pomicanja stola min. 250 kg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5.2.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Promjenjiva visina ležaja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5.3.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Dvosmjerna komunikacija pacijenta i operatera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5.4.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Video kamera za nadzor pacijenta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5.5.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Slušalice za pacijenta za zaštitu pacijenta od buke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5.6.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Prijenos fizioloških signala (EKG, disanje, periferni puls) radi okidanja sekvenci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5.7.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Integrirani respiracijski senzor u zavojnici za kralježnicu ili kamera u tunelu za praćenje disanja bez respiracijskog pojasa.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5.8.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Aktiviranje alarma od strane pacijenta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 PROGRAMSKA PODRŠKA</w:t>
            </w: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EFDA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6.1. NEURO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Vođeni, fleksibilne tijekovi rada za mozak, vratnu, torakalnu i lumbalnu kralježnicu. Omogućene su optimizirane strategije skeniranja koje se mogu odabrati na temelju stanja pacijenta, što omogućuje ponovljive, visokokvalitetne i vremenski učinkovite preglede.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EFDA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6.1.2. 3D TOF MRA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2D MRA faznog kontrasta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6.1.4.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3D protokoli dvostruke inverzije za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prigušenje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cerebro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-spinalne tekućine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Brzo 2D oslikavanje sa TSE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Korekcija pomaka za TSE oslikavanje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6.1.7.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3D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izotropno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oslikavanje uz korištenje T1, T2 i 3D TSE T2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6.1.8.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DWI oslikavanje sa kalkulacijom ADC mapa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6.1.9.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DW segmentirana EPI sekvenca optimizirana na način da se dobije slika visoke rezolucije sa reduciranim distorzijama. DWI prostate, mozga, kralježnice sa prikazom detalja na visokom nivou i s velikom prostornom preciznošću. 2D navigator bazirana fazna korekcija za redukciju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pulzacijskih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artefakata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6.1.10.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T1 oslikavanje kralježnice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6.1.11.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T2 oslikavanje kralježnice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6.1.12.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Oslikavanje cijele kralježnice korištenjem višestrukih postaja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6.1.13.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Software za anatomsko te angiografsko povezivanje višestrukih susjednih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koronalnih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ili sagitalnih slika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6.1.14.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Difuzijski ponderirano snimanje s novom BLADE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Diffusion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sekvencom poboljšava snimanje u zahtjevnim područjima s visokim nehomogenostima B0 polja, npr. u području srednjeg uha.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6.1.15.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3D T1 i 3D T2 oslikavanje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6.1.16.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SWI - Tehnika 3D snimanja mozga visoke rezolucije 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ultra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visokom osjetljivošću za mikroskopske nehomogenosti magnetskog polja uzrokovane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deoksigeniranom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krvlju, produktima raspadanja krvi i mikroskopskim naslagama željeza. Između ostalog, metoda omogućuje visoko osjetljiv dokaz cerebralnih krvarenja i prikaz visoke rezolucije venskih moždanih krvnih žila.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6.1.17.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Neuro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perfusija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koja pruža modificiranu sekvencu i rekonstrukciju slike za korekciju pokreta i naknadnu obradu 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perfuzijskom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snimanju temeljenom na kontrastu dinamičke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susceptibilnosti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(DSC). Mogu se izračunati sljedeće nekorigirane ili korigirane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perfuzijske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mape: vrijeme do vrha (TTP), relativni volumen moždane krvi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relCBV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), relativni protok krvi u mozgu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relCBF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), relativno srednje vrijeme tranzita (MTT), relativni korigirani volumen moždane krvi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relCCBV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) i dijagrami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bolusa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6.1.18.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Simultano višeslojno skeniranje koje omogućuje ubrzano snimanje za DWI snimanje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EFDA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6.2. MR ANGIOGRAFIJA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6.2.1.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2D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ToF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MR angiografija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6.2.2.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3D fazno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konstrastna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MR angiografija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6.2.3.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MR Angiografija bez kontrasta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6.2.4.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Kontrastom naglašena MR angiografija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6.2.5.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Metoda praćenja dolaska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bolusa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u područje interesa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6.2.6.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Periferna, kontrastom naglašena angiografija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EFDA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6.2.7. MTC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6.2.8.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Sekvence i protokoli za 4D MR angiografiju ("time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resolved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") i dinamičko snimanje sa visokom prostornom i temporalnom rezolucijom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EFDA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6.3. OSLIKAVANJE TIJELA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Start snimanja disanjem pacijenta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2D korekcija pomaka pacijenta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T1, T2, STIR oslikavanje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Oslikavanje uz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prigušenje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signala masti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3D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izotropno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T1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osikavanje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organa uz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prigušenje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signala masti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6.3.7.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3D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izotropno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T2 oslikavanje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6.3.8.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DIXON metoda oslikavanja tijela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6.3.9.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Visokorezolucijski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DWI uz smanjenje izobličenja s “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eng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multishot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” segmentiranom EPI sekvencom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6.3.10.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EPI difuzijsko snimanje malih, "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zumiranih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" područja od interesa uz izbjegavanje signala iz okolnog tkiva i minimiziranje artefakata od metalnih implantata.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6.3.11.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Program za brzo oslikavanje tijela uz kompenzaciju pomaka, kontrastno oslikavanje tijekom slobodnog disanja, visoko rezolucijske 4D sekvence npr. za više arterijsko oslikavanje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jetre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te sekvence neosjetljive na pomake za oslikavanje tijela i zdjelice uz slobodno disanje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pacijenta.Oslikavanje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abdomena bez artefakata koristeći radijalnu tehniku oslikavanja bez okidanja i bez zadržavanja daha pacijenta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6.3.13.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Program za pregled cijelog tijela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eng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Whole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body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“)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EFDA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6.4. OSLIKAVANJE SRCA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6.4.1.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Podrška za automatizirani tijek rada temeljen na umjetnoj inteligenciji, uključujući: - Automatsko pozicioniranje anatomije i planiranje skeniranja za precizno postavljanje parametara snimanja. - Automatsko otkrivanje faze mirovanja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6.4.2.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Sekvenca za kvantitativnu procjenu protoka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6.4.3.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Osnovni programi za snimanje srca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6.4.4.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Sekvence i protokole za napredno snimanje srca, uključujući 3D i 4D BEAT funkcionalnosti ili jednako vrijedno. Podržava napredne tehnike za snimanje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ventrikularne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funkcije, dinamičko snimanje, karakterizaciju tkiva, koronarno snimanje.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6.4.5.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Sekvence i protokoli za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inline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izračun T1, T2 i T2* u srca. Generiranje parametarskih mapa T1 i T2 poboljšano je korištenjem korekcije pokreta.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6.4.6.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Visokorezolucijsko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, brzo i robusno 3D anatomsko snimanje cijelog srca i 3D karakterizacija tkiva pri slobodnom disanju.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EFDA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6.5. ORTOPEDSKA OSLIKAVANJA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6.5.1.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Redukcija smetnji nastalih uslijed metalnih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imlantanata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uključujući velike ortopedske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implantante</w:t>
            </w:r>
            <w:proofErr w:type="spellEnd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6.5.2.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Program koji na temelju T1, T2 ili T2* svojstava hrskavice omogućuje rano otkrivanje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osteoartritične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degradacije hrskavičnih struktura čak i prije nego što dođe do morfoloških promjena. Metoda podržava terapijske odluke kod pojedinačnih pacijenata i može se koristiti za </w:t>
            </w: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neinvazivnu kontrolu liječenja, zamjenjujući operacije ili biopsije.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6.5.3.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2D i 3D T1 i T2 oslikavanja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EFDA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6.6. SPEKTROSKOPIJA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Spektroskopija se mora koristiti kod oslikavanja glave, dojke i prostate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2D Spektroskopsko oslikavanje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3D spektroskopsko oslikavanje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Program za evaluaciju spektroskopije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STEAM tehnika odabira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PRESS tehnika odabira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6.6.7.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Automatsko prilagođavanje homogenosti magnetskog polja višeg reda za optimizaciju homogenosti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EFDA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6.6. MR PROGRAMI ZA UBRZAVANJE PREGLEDA, AI PROGRAMI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Simultano višeslojno EPI snimanje koje vrši ubrzanje za DWI snimanja sa skraćenjem brzine snimanja do min. 60%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Simultano višeslojno TSE snimanje za ubrzanje kod MSK snimanja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Visoko ubrzano 3D snimanje bazirano na SPACE ili jednakovrijednoj pulse sekvenci s iterativnom rekonstrukcijom. Optimizirani protokoli za MSK snimanje i snimanja tijela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trigerirana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i 3D MRCP s zadržavanjem daha)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Simultano višeslojno snimanje za akceleraciju DWI snimanja za dojku i mozak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Napredna metoda rekonstrukcije slike s iterativnim uklanjanjem šuma, primjenjiva na sve regije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tjela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. Detekcija i uklanjanje šuma treba se obavljati optimizirano za pojedinačno skeniranje, čime se rješava prostorno promjenjiv šum određenog snimanja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Metoda rekonstrukcije dubokog učenja koji je trenirana na velikoj količini skupova podataka za rekonstrukciju slika visokog omjera signala i šuma iz sirovih podataka premalo uzorkovanih. Omogućuje uklanjanje šuma s visokom akceleracijom paralelnog snimanja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6.6.7.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Metoda rekonstrukcije dubokog učenja trenirana na velikoj količini MR podataka visoke rezolucije za rekonstrukciju oštrih slika iz podataka niske rezolucije. Algoritam reducira "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Gibbs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-ove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artifakte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" na MR slici. Redukcija veličina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voksela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kroz interpolaciju dubokog učenja ILI Metoda rekonstrukcije slike koristi dva AI sustava: jedan za obradu izvornog MR signala, a drugi u domeni kompleksne slike. Kombinacija ovih pristupa postiže prostorno prilagodljivo smanjenje šuma uz očuvanje kontrasta, rubova i finih detalja, omogućujući do tri puta brže snimanje bez gubitka kvalitete slike i bez promjene kliničkog tijeka rada. Tehnologija mora biti primjenjiva na neurološke, spinalne i tjelesne protokole.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2EFDA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6.7. OSTALO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6.7.1.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Okidanje oslikavanja putem fizioloških signala (EKG, disanje, periferni puls)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6.7.2.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Metoda korekcije pomaka pacijenta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6.7.3.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Paralelno oslikavanje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7. RAČUNALO ZA AKVIZICIJU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7.1.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Računalo,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višejezgreni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procesor takta min. __________ GHz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7.2.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Radna memorija min. __________ GB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7.3.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Disk kapaciteta min. __________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7.4.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Minimalno 2 komada monitora dijagonale min. 24"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7.5.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Integrirana pomoć (upute) za korisnika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8. RAČUNALO ZA REKONSTRUKCIJU SLIKA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8.1.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Računalo,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višejezgreni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procesor takta min. __________ GHz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8.2.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Radna memorija min. __________ GB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8.3.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Disk kapaciteta min. __________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8.4.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Brzina rekonstrukcije min. __________ rekonstrukcija u sekundi (100% vidno polje)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9. POVEZIVANJE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9.1.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Ugrađeno sučelje za mrežnu komunikaciju u standardiziranom formatu za digitalno oslikavanje i komunikaciju u medicini (min. funkcionalnost: potvrda, ispis, pohrana, modalitetna radna lista, potvrda pohrane, obavljeni proceduralni korak modaliteta, upit/dohvat, razmjena medija i eksportiranje.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10. RADNA STANICA ZA NAKNADNU OBRADU SLIKA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Isporuka jednog server računala s min. 3 radne stanice ili dodavanje 3 radne stanice postojećem server-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klient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sustavu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Isporuka min. 2 monitora uz svaku radnu stanicu, ravnog ekrana u boji, dijagonale min. 24" i rezolucije min. 1920 x 1200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piksela</w:t>
            </w:r>
            <w:proofErr w:type="spellEnd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Multimodalitetni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prikaz i obrada slika (CT, MR, RTG slike)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Programska podrška za obradu slika: 3D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Volume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Rendering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, MIP,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miniIP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,MPR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Program za evaluaciju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neuro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perfuzije</w:t>
            </w:r>
            <w:proofErr w:type="spellEnd"/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10.6.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Program za evaluaciju spektroskopije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10.7.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Program za MR difuziju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10.8.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Program koji pruža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volumetrijske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podatke o srčanim aktivnostima pregledanog pacijenta - Automatizirana segmentacija lijeve klijetke - Poluautomatska segmentacija desne klijetke s vođenjem tijeka rada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Volumetrijska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analiza i analiza zadebljanja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stijenke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, uključujući izračun parametara poput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ventrikularne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ejekcijske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frakcije (EF),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endsistolnog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(ESV)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enddijastoličkog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volumena (EDV),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ventrikularne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mase, srčanog minutnog volumena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10.9.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Program za kvantitativna analiza protoka - Analiza protoka kroz ravninu i u ravnini; Korekcija pozadinske faze; Prikaz vrijednosti i lokacije vršne brzine na svakoj slici - Izračun: srednje i vršne brzine; srednjeg, kumulativnog, direktnog i retrogradnog protoka;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10.10.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DICOM kompatibilnost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949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4C6E7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11. OSTALA OPREMA I UVJETI</w:t>
            </w: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11.1.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Kamera za nadgledanje pacijenata u sobi za pregled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11.2.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Kolica za pohranu zavojnica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11.3.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Isporuka RF kabine s unutarnjim uređenjem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11.4.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MR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injektor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kontrasta, minimalno dvoglavi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lastRenderedPageBreak/>
              <w:t>11.5.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Ležaj na kotačima za prijevoz bolesnika do pacijent stola izrađena od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nemagnetskog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materijala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11.6.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Sustav za hlađenje MR uređaja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eng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chiller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)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11.7.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Minimalni jamstveni rok 24 mjeseca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11.8.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Maksimalan jamstveni rok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jc w:val="center"/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11.9.</w:t>
            </w:r>
          </w:p>
        </w:tc>
        <w:tc>
          <w:tcPr>
            <w:tcW w:w="4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hr-HR"/>
              </w:rPr>
              <w:t>Mogućnost petogodišnjeg najma uz mjesečnu ratnu otplatu</w:t>
            </w: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</w:tbl>
    <w:p w:rsidR="00701A77" w:rsidRDefault="00701A77">
      <w:pPr>
        <w:jc w:val="both"/>
        <w:rPr>
          <w:rFonts w:ascii="Arial" w:eastAsia="Arial" w:hAnsi="Arial" w:cs="Arial"/>
          <w:sz w:val="22"/>
          <w:szCs w:val="22"/>
          <w:lang w:val="hr-HR"/>
        </w:rPr>
      </w:pPr>
    </w:p>
    <w:p w:rsidR="00701A77" w:rsidRDefault="00FD6490">
      <w:pPr>
        <w:jc w:val="both"/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  <w:lang w:val="hr-HR"/>
        </w:rPr>
        <w:t>2. Komercijalni podaci</w:t>
      </w:r>
    </w:p>
    <w:tbl>
      <w:tblPr>
        <w:tblW w:w="9496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5" w:type="dxa"/>
          <w:left w:w="70" w:type="dxa"/>
          <w:bottom w:w="25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748"/>
      </w:tblGrid>
      <w:tr w:rsidR="00701A77">
        <w:trPr>
          <w:tblHeader/>
        </w:trPr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Podatak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2F3"/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hr-HR"/>
              </w:rPr>
              <w:t>Ponuda gospodarskog subjekta</w:t>
            </w:r>
          </w:p>
        </w:tc>
      </w:tr>
      <w:tr w:rsidR="00701A77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Ponuđeni uređaj (naziv, model, proizvođač)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Cijena za kupovinu – bez PDV-a (EUR)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Cijena za kupovinu – s PDV-om (EUR)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Cijena mjesečnog najma na 60 mjeseci – bez PDV-a (EUR)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Cijena mjesečnog najma na 60 mjeseci – s PDV-om (EUR)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Vrijeme odziva servisa (npr. broj sati / radnih dana)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  <w:tr w:rsidR="00701A77"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FD6490">
            <w:pPr>
              <w:rPr>
                <w:rFonts w:ascii="Arial" w:eastAsia="Arial" w:hAnsi="Arial" w:cs="Arial"/>
                <w:sz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lang w:val="hr-HR"/>
              </w:rPr>
              <w:t>Reference u Republici Hrvatskoj (popis korisnika / ustanova)</w:t>
            </w:r>
          </w:p>
        </w:tc>
        <w:tc>
          <w:tcPr>
            <w:tcW w:w="4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5" w:type="dxa"/>
              <w:left w:w="70" w:type="dxa"/>
              <w:bottom w:w="25" w:type="dxa"/>
              <w:right w:w="70" w:type="dxa"/>
            </w:tcMar>
            <w:vAlign w:val="center"/>
          </w:tcPr>
          <w:p w:rsidR="00701A77" w:rsidRDefault="00701A77">
            <w:pPr>
              <w:rPr>
                <w:rFonts w:ascii="Arial" w:eastAsia="Arial" w:hAnsi="Arial" w:cs="Arial"/>
                <w:sz w:val="18"/>
                <w:szCs w:val="18"/>
                <w:lang w:val="hr-HR"/>
              </w:rPr>
            </w:pPr>
          </w:p>
        </w:tc>
      </w:tr>
    </w:tbl>
    <w:p w:rsidR="00FD6490" w:rsidRDefault="00FD6490"/>
    <w:sectPr w:rsidR="00FD6490">
      <w:headerReference w:type="default" r:id="rId9"/>
      <w:footerReference w:type="default" r:id="rId10"/>
      <w:pgSz w:w="11906" w:h="16838"/>
      <w:pgMar w:top="851" w:right="1134" w:bottom="851" w:left="1276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F1" w:rsidRDefault="00B254F1">
      <w:r>
        <w:separator/>
      </w:r>
    </w:p>
  </w:endnote>
  <w:endnote w:type="continuationSeparator" w:id="0">
    <w:p w:rsidR="00B254F1" w:rsidRDefault="00B2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77" w:rsidRDefault="00FD6490">
    <w:pPr>
      <w:pStyle w:val="Naslov1"/>
      <w:ind w:left="0" w:right="-568" w:hanging="709"/>
      <w:jc w:val="center"/>
    </w:pPr>
    <w:r>
      <w:rPr>
        <w:color w:val="000000"/>
        <w:sz w:val="18"/>
        <w:szCs w:val="18"/>
        <w:lang w:val="pl-PL"/>
      </w:rPr>
      <w:t xml:space="preserve">telefax: (034) 271-713, </w:t>
    </w:r>
    <w:r>
      <w:rPr>
        <w:color w:val="000000"/>
        <w:sz w:val="18"/>
        <w:szCs w:val="18"/>
        <w:lang w:val="hr-HR"/>
      </w:rPr>
      <w:t xml:space="preserve">e-mail: </w:t>
    </w:r>
    <w:r>
      <w:rPr>
        <w:i w:val="0"/>
        <w:color w:val="000000"/>
        <w:sz w:val="18"/>
        <w:szCs w:val="18"/>
        <w:lang w:val="hr-HR"/>
      </w:rPr>
      <w:t>info@pozeska-bolnica.hr</w:t>
    </w:r>
    <w:r>
      <w:rPr>
        <w:color w:val="000000"/>
        <w:sz w:val="18"/>
        <w:szCs w:val="18"/>
        <w:lang w:val="hr-HR"/>
      </w:rPr>
      <w:t xml:space="preserve">; </w:t>
    </w:r>
    <w:r>
      <w:rPr>
        <w:color w:val="000000"/>
        <w:sz w:val="18"/>
        <w:szCs w:val="18"/>
      </w:rPr>
      <w:t xml:space="preserve"> IBAN</w:t>
    </w:r>
    <w:r>
      <w:rPr>
        <w:color w:val="000000"/>
        <w:sz w:val="18"/>
        <w:szCs w:val="18"/>
        <w:lang w:val="hr-HR"/>
      </w:rPr>
      <w:t xml:space="preserve">: </w:t>
    </w:r>
    <w:r>
      <w:rPr>
        <w:i w:val="0"/>
        <w:color w:val="000000"/>
        <w:sz w:val="18"/>
        <w:szCs w:val="18"/>
        <w:lang w:val="hr-HR"/>
      </w:rPr>
      <w:t>HR</w:t>
    </w:r>
    <w:r>
      <w:rPr>
        <w:rStyle w:val="Naglaeno"/>
        <w:b w:val="0"/>
        <w:iCs/>
        <w:color w:val="000000"/>
        <w:sz w:val="18"/>
        <w:szCs w:val="18"/>
      </w:rPr>
      <w:t xml:space="preserve">1425000091102188207, SWIFT: HAABHR227 </w:t>
    </w:r>
    <w:proofErr w:type="spellStart"/>
    <w:r>
      <w:rPr>
        <w:color w:val="000000"/>
        <w:sz w:val="18"/>
        <w:szCs w:val="18"/>
        <w:lang w:val="hr-HR"/>
      </w:rPr>
      <w:t>Addiko</w:t>
    </w:r>
    <w:proofErr w:type="spellEnd"/>
    <w:r>
      <w:rPr>
        <w:color w:val="000000"/>
        <w:sz w:val="18"/>
        <w:szCs w:val="18"/>
        <w:lang w:val="hr-HR"/>
      </w:rPr>
      <w:t xml:space="preserve"> Bank d.d.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F1" w:rsidRDefault="00B254F1">
      <w:r>
        <w:separator/>
      </w:r>
    </w:p>
  </w:footnote>
  <w:footnote w:type="continuationSeparator" w:id="0">
    <w:p w:rsidR="00B254F1" w:rsidRDefault="00B25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A77" w:rsidRDefault="00FD6490">
    <w:pPr>
      <w:ind w:left="142" w:right="141"/>
      <w:jc w:val="center"/>
      <w:rPr>
        <w:b/>
        <w:color w:val="008080"/>
        <w:spacing w:val="20"/>
        <w:sz w:val="44"/>
        <w:lang w:val="pl-PL"/>
      </w:rPr>
    </w:pPr>
    <w:r>
      <w:rPr>
        <w:b/>
        <w:color w:val="008080"/>
        <w:spacing w:val="20"/>
        <w:sz w:val="44"/>
        <w:lang w:val="pl-PL"/>
      </w:rPr>
      <w:t>OPĆA ŽUPANIJSKA BOLNICA</w:t>
    </w:r>
  </w:p>
  <w:p w:rsidR="00701A77" w:rsidRDefault="00FD6490">
    <w:pPr>
      <w:pBdr>
        <w:bottom w:val="single" w:sz="18" w:space="3" w:color="008080"/>
      </w:pBdr>
      <w:ind w:left="142" w:right="-568" w:hanging="568"/>
      <w:jc w:val="center"/>
      <w:rPr>
        <w:b/>
        <w:color w:val="008080"/>
        <w:spacing w:val="20"/>
        <w:sz w:val="44"/>
        <w:lang w:val="pl-PL"/>
      </w:rPr>
    </w:pPr>
    <w:r>
      <w:rPr>
        <w:b/>
        <w:color w:val="008080"/>
        <w:spacing w:val="20"/>
        <w:sz w:val="44"/>
        <w:lang w:val="pl-PL"/>
      </w:rPr>
      <w:t>POŽEGA</w:t>
    </w:r>
  </w:p>
  <w:p w:rsidR="00701A77" w:rsidRDefault="00FD6490">
    <w:pPr>
      <w:pStyle w:val="Naslov1"/>
      <w:ind w:left="-142" w:right="-568" w:hanging="284"/>
      <w:jc w:val="center"/>
    </w:pPr>
    <w:r>
      <w:rPr>
        <w:color w:val="000000"/>
        <w:sz w:val="17"/>
        <w:szCs w:val="17"/>
        <w:lang w:val="pl-PL"/>
      </w:rPr>
      <w:t xml:space="preserve">34000 Požega, Osječka 107; MB 0541109; </w:t>
    </w:r>
    <w:r>
      <w:rPr>
        <w:color w:val="000000"/>
        <w:sz w:val="17"/>
        <w:szCs w:val="17"/>
        <w:lang w:val="hr-HR"/>
      </w:rPr>
      <w:t xml:space="preserve">MBS: 050026872; OIB: </w:t>
    </w:r>
    <w:r>
      <w:rPr>
        <w:color w:val="000000"/>
        <w:sz w:val="17"/>
        <w:szCs w:val="17"/>
        <w:lang w:val="pl-PL"/>
      </w:rPr>
      <w:t>40589450667; tel. centrala: (034) 254-555; ravnatelj: (034) 254-505</w:t>
    </w:r>
  </w:p>
  <w:p w:rsidR="00701A77" w:rsidRDefault="00701A77">
    <w:pPr>
      <w:pStyle w:val="Zaglavlje"/>
      <w:rPr>
        <w:color w:val="000000"/>
        <w:sz w:val="17"/>
        <w:szCs w:val="17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B692E"/>
    <w:multiLevelType w:val="multilevel"/>
    <w:tmpl w:val="9AB499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E145B4"/>
    <w:multiLevelType w:val="multilevel"/>
    <w:tmpl w:val="781C6126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77"/>
    <w:rsid w:val="004B26DF"/>
    <w:rsid w:val="00701A77"/>
    <w:rsid w:val="00B254F1"/>
    <w:rsid w:val="00F54DD0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A20CE-5B67-4496-8DB7-49328F9A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left="142"/>
      <w:outlineLvl w:val="0"/>
    </w:pPr>
    <w:rPr>
      <w:i/>
      <w:color w:val="008000"/>
      <w:sz w:val="22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Calibri" w:eastAsia="Calibri" w:hAnsi="Calibri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i w:val="0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Calibri" w:eastAsia="Calibri" w:hAnsi="Calibri" w:cs="Times New Roman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ascii="Calibri" w:eastAsia="Times New Roman" w:hAnsi="Calibri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styleId="Hiperveza">
    <w:name w:val="Hyperlink"/>
    <w:rPr>
      <w:color w:val="0000FF"/>
      <w:u w:val="single"/>
    </w:rPr>
  </w:style>
  <w:style w:type="character" w:styleId="Naglaeno">
    <w:name w:val="Strong"/>
    <w:qFormat/>
    <w:rPr>
      <w:b/>
      <w:bCs/>
    </w:rPr>
  </w:style>
  <w:style w:type="character" w:customStyle="1" w:styleId="Naslov1Char">
    <w:name w:val="Naslov 1 Char"/>
    <w:qFormat/>
    <w:rPr>
      <w:i/>
      <w:color w:val="008000"/>
      <w:sz w:val="22"/>
      <w:lang w:val="en-US"/>
    </w:rPr>
  </w:style>
  <w:style w:type="character" w:customStyle="1" w:styleId="TekstbaloniaChar">
    <w:name w:val="Tekst balončića Char"/>
    <w:qFormat/>
    <w:rPr>
      <w:rFonts w:ascii="Segoe UI" w:hAnsi="Segoe UI" w:cs="Segoe UI"/>
      <w:sz w:val="18"/>
      <w:szCs w:val="18"/>
      <w:lang w:val="en-US"/>
    </w:rPr>
  </w:style>
  <w:style w:type="character" w:customStyle="1" w:styleId="Naslov2Char">
    <w:name w:val="Naslov 2 Char"/>
    <w:qFormat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Free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Uvuenotijeloteksta">
    <w:name w:val="Body Text Indent"/>
    <w:basedOn w:val="Normal"/>
    <w:pPr>
      <w:ind w:left="1332" w:hanging="2466"/>
      <w:jc w:val="both"/>
    </w:pPr>
    <w:rPr>
      <w:sz w:val="22"/>
      <w:lang w:val="hr-HR"/>
    </w:rPr>
  </w:style>
  <w:style w:type="paragraph" w:styleId="Odlomakpopisa">
    <w:name w:val="List Paragraph"/>
    <w:basedOn w:val="Normal"/>
    <w:qFormat/>
    <w:pPr>
      <w:ind w:left="708"/>
    </w:pPr>
  </w:style>
  <w:style w:type="paragraph" w:styleId="Tekstbalonia">
    <w:name w:val="Balloon Text"/>
    <w:basedOn w:val="Normal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.raguz@pozeska-bol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lentin.raguz@pozeska-bolnic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3071</Words>
  <Characters>17508</Characters>
  <Application>Microsoft Office Word</Application>
  <DocSecurity>0</DocSecurity>
  <Lines>145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Raguž</dc:creator>
  <cp:lastModifiedBy>Valentin Raguž</cp:lastModifiedBy>
  <cp:revision>4</cp:revision>
  <dcterms:created xsi:type="dcterms:W3CDTF">2026-06-03T11:26:00Z</dcterms:created>
  <dcterms:modified xsi:type="dcterms:W3CDTF">2026-06-03T11:38:00Z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2026-05-22T11:46:00Z</dcterms:created>
  <dc:creator>Tajnica ravnatelja</dc:creator>
  <dc:description/>
  <cp:keywords/>
  <dc:language>en-US</dc:language>
  <cp:lastModifiedBy>Valentin Raguž</cp:lastModifiedBy>
  <cp:lastPrinted>2024-11-28T13:17:00Z</cp:lastPrinted>
  <dcterms:modified xsi:type="dcterms:W3CDTF">2026-05-22T11:54:00Z</dcterms:modified>
  <cp:revision>4</cp:revision>
  <dc:subject/>
  <dc:title>OPĆA  ŽUPANIJSKA  BOLNICA</dc:title>
</cp:coreProperties>
</file>